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726" w:rsidRDefault="00926541">
      <w:pPr>
        <w:pStyle w:val="Standard"/>
        <w:spacing w:line="460" w:lineRule="exact"/>
        <w:jc w:val="both"/>
      </w:pPr>
      <w:bookmarkStart w:id="0" w:name="_GoBack"/>
      <w:bookmarkEnd w:id="0"/>
      <w:r>
        <w:rPr>
          <w:rFonts w:ascii="標楷體" w:eastAsia="標楷體" w:hAnsi="標楷體" w:cs="標楷體"/>
          <w:color w:val="000000"/>
          <w:sz w:val="40"/>
          <w:szCs w:val="40"/>
        </w:rPr>
        <w:t>性別平等工作法施行細則第四條之二、第四條之三修正條文</w:t>
      </w:r>
    </w:p>
    <w:p w:rsidR="00BD0726" w:rsidRDefault="00926541">
      <w:pPr>
        <w:pStyle w:val="Standard"/>
        <w:spacing w:line="460" w:lineRule="exact"/>
        <w:ind w:left="1418" w:hanging="1418"/>
        <w:jc w:val="both"/>
      </w:pPr>
      <w:r>
        <w:rPr>
          <w:rFonts w:ascii="標楷體" w:eastAsia="標楷體" w:hAnsi="標楷體" w:cs="細明體, MingLiU"/>
          <w:color w:val="000000"/>
          <w:kern w:val="0"/>
          <w:sz w:val="28"/>
          <w:szCs w:val="28"/>
          <w:lang w:val="zh-TW"/>
        </w:rPr>
        <w:t xml:space="preserve">第四條之二　　</w:t>
      </w:r>
      <w:r>
        <w:rPr>
          <w:rFonts w:ascii="標楷體" w:eastAsia="標楷體" w:hAnsi="標楷體"/>
          <w:kern w:val="0"/>
          <w:sz w:val="28"/>
          <w:szCs w:val="28"/>
        </w:rPr>
        <w:t>本法第十二條第三項第二款及第十三條第二項所稱共同作業，指基於共同目的於同一期間從事工作者。</w:t>
      </w:r>
    </w:p>
    <w:p w:rsidR="00BD0726" w:rsidRDefault="00926541">
      <w:pPr>
        <w:pStyle w:val="Standard"/>
        <w:spacing w:line="460" w:lineRule="exact"/>
        <w:ind w:left="1418" w:firstLine="567"/>
        <w:jc w:val="both"/>
      </w:pPr>
      <w:r>
        <w:rPr>
          <w:rFonts w:ascii="標楷體" w:eastAsia="標楷體" w:hAnsi="標楷體"/>
          <w:sz w:val="28"/>
          <w:szCs w:val="28"/>
        </w:rPr>
        <w:t>本法第十二條第三項第一款及第二款所稱持續性性騷擾，指該性騷擾行為於工作時間及非工作時間均發生，且時間具密接性者。</w:t>
      </w:r>
    </w:p>
    <w:p w:rsidR="00BD0726" w:rsidRDefault="00926541">
      <w:pPr>
        <w:pStyle w:val="Standard"/>
        <w:spacing w:line="460" w:lineRule="exact"/>
        <w:ind w:left="1418" w:firstLine="567"/>
        <w:jc w:val="both"/>
        <w:rPr>
          <w:rFonts w:ascii="標楷體" w:eastAsia="標楷體" w:hAnsi="標楷體"/>
          <w:sz w:val="28"/>
          <w:szCs w:val="28"/>
        </w:rPr>
      </w:pPr>
      <w:r>
        <w:rPr>
          <w:rFonts w:ascii="標楷體" w:eastAsia="標楷體" w:hAnsi="標楷體"/>
          <w:sz w:val="28"/>
          <w:szCs w:val="28"/>
        </w:rPr>
        <w:t>本法第十二條第八項第二款所定最高負責人，地方主管機關應依下列各款規定審認之：</w:t>
      </w:r>
    </w:p>
    <w:p w:rsidR="00BD0726" w:rsidRDefault="00926541">
      <w:pPr>
        <w:pStyle w:val="Standard"/>
        <w:spacing w:line="460" w:lineRule="exact"/>
        <w:ind w:left="2465" w:hanging="567"/>
        <w:jc w:val="both"/>
        <w:rPr>
          <w:rFonts w:ascii="標楷體" w:eastAsia="標楷體" w:hAnsi="標楷體"/>
          <w:sz w:val="28"/>
          <w:szCs w:val="28"/>
        </w:rPr>
      </w:pPr>
      <w:r>
        <w:rPr>
          <w:rFonts w:ascii="標楷體" w:eastAsia="標楷體" w:hAnsi="標楷體"/>
          <w:sz w:val="28"/>
          <w:szCs w:val="28"/>
        </w:rPr>
        <w:t>一、法人、合夥、設有代表人或管理人之非法人團體及其他組織之對外代表人：以公司登記、商業登記、有限合夥登記、財團法人登記或其他依法設立相關證明文件所記載對外代表之人為準；依法應辦理設立登記而未辦理者，亦屬之。</w:t>
      </w:r>
    </w:p>
    <w:p w:rsidR="00BD0726" w:rsidRDefault="00926541">
      <w:pPr>
        <w:pStyle w:val="Standard"/>
        <w:spacing w:line="460" w:lineRule="exact"/>
        <w:ind w:left="2465" w:hanging="567"/>
        <w:jc w:val="both"/>
        <w:rPr>
          <w:rFonts w:ascii="標楷體" w:eastAsia="標楷體" w:hAnsi="標楷體"/>
          <w:sz w:val="28"/>
          <w:szCs w:val="28"/>
        </w:rPr>
      </w:pPr>
      <w:r>
        <w:rPr>
          <w:rFonts w:ascii="標楷體" w:eastAsia="標楷體" w:hAnsi="標楷體"/>
          <w:sz w:val="28"/>
          <w:szCs w:val="28"/>
        </w:rPr>
        <w:t>二、與前款代表人職務相當之人：為實質執行代表人業務或實質控制組織人事、財務或業務經營，且於該組織有下列情形之一：</w:t>
      </w:r>
    </w:p>
    <w:p w:rsidR="00BD0726" w:rsidRDefault="00926541">
      <w:pPr>
        <w:pStyle w:val="Standard"/>
        <w:spacing w:line="460" w:lineRule="exact"/>
        <w:ind w:left="3315" w:hanging="850"/>
        <w:jc w:val="both"/>
        <w:rPr>
          <w:rFonts w:ascii="標楷體" w:eastAsia="標楷體" w:hAnsi="標楷體"/>
          <w:sz w:val="28"/>
          <w:szCs w:val="28"/>
        </w:rPr>
      </w:pPr>
      <w:r>
        <w:rPr>
          <w:rFonts w:ascii="標楷體" w:eastAsia="標楷體" w:hAnsi="標楷體"/>
          <w:sz w:val="28"/>
          <w:szCs w:val="28"/>
        </w:rPr>
        <w:t>（一）現任或曾任董事（理事）或監察人（監事）者。</w:t>
      </w:r>
    </w:p>
    <w:p w:rsidR="00BD0726" w:rsidRDefault="00926541">
      <w:pPr>
        <w:pStyle w:val="Standard"/>
        <w:spacing w:line="460" w:lineRule="exact"/>
        <w:ind w:left="1898" w:firstLine="567"/>
        <w:jc w:val="both"/>
        <w:rPr>
          <w:rFonts w:ascii="標楷體" w:eastAsia="標楷體" w:hAnsi="標楷體"/>
          <w:sz w:val="28"/>
          <w:szCs w:val="28"/>
        </w:rPr>
      </w:pPr>
      <w:r>
        <w:rPr>
          <w:rFonts w:ascii="標楷體" w:eastAsia="標楷體" w:hAnsi="標楷體"/>
          <w:sz w:val="28"/>
          <w:szCs w:val="28"/>
        </w:rPr>
        <w:t>（二）持有百分之二十以上股份者。</w:t>
      </w:r>
    </w:p>
    <w:p w:rsidR="00BD0726" w:rsidRDefault="00926541">
      <w:pPr>
        <w:pStyle w:val="Standard"/>
        <w:spacing w:line="460" w:lineRule="exact"/>
        <w:ind w:left="3315" w:hanging="850"/>
        <w:jc w:val="both"/>
        <w:rPr>
          <w:rFonts w:ascii="標楷體" w:eastAsia="標楷體" w:hAnsi="標楷體"/>
          <w:sz w:val="28"/>
          <w:szCs w:val="28"/>
        </w:rPr>
      </w:pPr>
      <w:r>
        <w:rPr>
          <w:rFonts w:ascii="標楷體" w:eastAsia="標楷體" w:hAnsi="標楷體"/>
          <w:sz w:val="28"/>
          <w:szCs w:val="28"/>
        </w:rPr>
        <w:t>（三）經工會、股東、協力廠商或性騷擾事件申訴人，指認為與代表人職務相當之人，並有具體事證者。</w:t>
      </w:r>
    </w:p>
    <w:p w:rsidR="00BD0726" w:rsidRDefault="00926541">
      <w:pPr>
        <w:pStyle w:val="Standard"/>
        <w:spacing w:line="460" w:lineRule="exact"/>
        <w:ind w:left="3315" w:hanging="850"/>
        <w:jc w:val="both"/>
        <w:rPr>
          <w:rFonts w:ascii="標楷體" w:eastAsia="標楷體" w:hAnsi="標楷體"/>
          <w:sz w:val="28"/>
          <w:szCs w:val="28"/>
        </w:rPr>
      </w:pPr>
      <w:r>
        <w:rPr>
          <w:rFonts w:ascii="標楷體" w:eastAsia="標楷體" w:hAnsi="標楷體"/>
          <w:sz w:val="28"/>
          <w:szCs w:val="28"/>
        </w:rPr>
        <w:t>（四）代表人</w:t>
      </w:r>
      <w:r>
        <w:rPr>
          <w:rFonts w:ascii="標楷體" w:eastAsia="標楷體" w:hAnsi="標楷體"/>
          <w:sz w:val="28"/>
          <w:szCs w:val="28"/>
        </w:rPr>
        <w:t>之配偶、前配偶、四親等內之血親、三親等內血親之配偶、配偶之三親等內血親或其配偶者。</w:t>
      </w:r>
    </w:p>
    <w:p w:rsidR="00BD0726" w:rsidRDefault="00926541">
      <w:pPr>
        <w:pStyle w:val="Standard"/>
        <w:spacing w:line="460" w:lineRule="exact"/>
        <w:ind w:left="3315" w:hanging="850"/>
        <w:jc w:val="both"/>
        <w:rPr>
          <w:rFonts w:ascii="標楷體" w:eastAsia="標楷體" w:hAnsi="標楷體"/>
          <w:sz w:val="28"/>
          <w:szCs w:val="28"/>
        </w:rPr>
      </w:pPr>
      <w:r>
        <w:rPr>
          <w:rFonts w:ascii="標楷體" w:eastAsia="標楷體" w:hAnsi="標楷體"/>
          <w:sz w:val="28"/>
          <w:szCs w:val="28"/>
        </w:rPr>
        <w:t>（五）代表人經改選尚未辦理登記者。</w:t>
      </w:r>
    </w:p>
    <w:p w:rsidR="00BD0726" w:rsidRDefault="00926541">
      <w:pPr>
        <w:pStyle w:val="Standard"/>
        <w:spacing w:line="460" w:lineRule="exact"/>
        <w:ind w:left="3315" w:hanging="850"/>
        <w:jc w:val="both"/>
      </w:pPr>
      <w:r>
        <w:rPr>
          <w:rFonts w:ascii="標楷體" w:eastAsia="標楷體" w:hAnsi="標楷體"/>
          <w:sz w:val="28"/>
          <w:szCs w:val="28"/>
        </w:rPr>
        <w:t>（六）位居特殊重要職位者。</w:t>
      </w:r>
    </w:p>
    <w:p w:rsidR="00BD0726" w:rsidRDefault="00926541">
      <w:pPr>
        <w:pStyle w:val="Standard"/>
        <w:spacing w:line="460" w:lineRule="exact"/>
        <w:ind w:left="1418" w:hanging="1418"/>
        <w:jc w:val="both"/>
      </w:pPr>
      <w:r>
        <w:rPr>
          <w:rFonts w:ascii="標楷體" w:eastAsia="標楷體" w:hAnsi="標楷體" w:cs="細明體, MingLiU"/>
          <w:color w:val="000000"/>
          <w:kern w:val="0"/>
          <w:sz w:val="28"/>
          <w:szCs w:val="28"/>
          <w:lang w:val="zh-TW"/>
        </w:rPr>
        <w:t xml:space="preserve">第四條之三　　</w:t>
      </w:r>
      <w:r>
        <w:rPr>
          <w:rFonts w:ascii="標楷體" w:eastAsia="標楷體" w:hAnsi="標楷體"/>
          <w:kern w:val="0"/>
          <w:sz w:val="28"/>
          <w:szCs w:val="28"/>
        </w:rPr>
        <w:t>本法第十三條第二項序文所定知悉，不以被害人須向雇主提出性騷擾申訴為限。</w:t>
      </w:r>
    </w:p>
    <w:p w:rsidR="00BD0726" w:rsidRDefault="00926541">
      <w:pPr>
        <w:pStyle w:val="Standard"/>
        <w:spacing w:line="460" w:lineRule="exact"/>
        <w:ind w:left="1418" w:firstLine="567"/>
        <w:jc w:val="both"/>
      </w:pPr>
      <w:r>
        <w:rPr>
          <w:rFonts w:ascii="標楷體" w:eastAsia="標楷體" w:hAnsi="標楷體"/>
          <w:sz w:val="28"/>
          <w:szCs w:val="28"/>
        </w:rPr>
        <w:lastRenderedPageBreak/>
        <w:t>本法第十三條第四項所稱地方主管機關，指被害人勞務提供地之直轄市或縣（市）主管機關。</w:t>
      </w:r>
    </w:p>
    <w:p w:rsidR="00BD0726" w:rsidRDefault="00926541">
      <w:pPr>
        <w:pStyle w:val="Standard"/>
        <w:spacing w:line="460" w:lineRule="exact"/>
        <w:ind w:left="840" w:hanging="840"/>
        <w:jc w:val="both"/>
      </w:pPr>
      <w:r>
        <w:rPr>
          <w:rFonts w:ascii="標楷體" w:eastAsia="標楷體" w:hAnsi="標楷體" w:cs="細明體, MingLiU"/>
          <w:color w:val="000000"/>
          <w:kern w:val="0"/>
          <w:sz w:val="28"/>
          <w:szCs w:val="28"/>
          <w:lang w:val="zh-TW"/>
        </w:rPr>
        <w:t xml:space="preserve">　　　　　</w:t>
      </w:r>
    </w:p>
    <w:sectPr w:rsidR="00BD0726">
      <w:pgSz w:w="11906" w:h="16838"/>
      <w:pgMar w:top="1418" w:right="1418" w:bottom="1418" w:left="1701" w:header="720" w:footer="720" w:gutter="0"/>
      <w:cols w:space="720"/>
      <w:docGrid w:type="lines" w:linePitch="6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541" w:rsidRDefault="00926541">
      <w:pPr>
        <w:rPr>
          <w:rFonts w:hint="eastAsia"/>
        </w:rPr>
      </w:pPr>
      <w:r>
        <w:separator/>
      </w:r>
    </w:p>
  </w:endnote>
  <w:endnote w:type="continuationSeparator" w:id="0">
    <w:p w:rsidR="00926541" w:rsidRDefault="009265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PMingLiU">
    <w:charset w:val="00"/>
    <w:family w:val="roman"/>
    <w:pitch w:val="variable"/>
  </w:font>
  <w:font w:name="Liberation Sans">
    <w:charset w:val="00"/>
    <w:family w:val="swiss"/>
    <w:pitch w:val="variable"/>
  </w:font>
  <w:font w:name="思源黑體">
    <w:charset w:val="00"/>
    <w:family w:val="swiss"/>
    <w:pitch w:val="variable"/>
  </w:font>
  <w:font w:name="細明體, MingLiU">
    <w:charset w:val="00"/>
    <w:family w:val="modern"/>
    <w:pitch w:val="default"/>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541" w:rsidRDefault="00926541">
      <w:pPr>
        <w:rPr>
          <w:rFonts w:hint="eastAsia"/>
        </w:rPr>
      </w:pPr>
      <w:r>
        <w:rPr>
          <w:color w:val="000000"/>
        </w:rPr>
        <w:separator/>
      </w:r>
    </w:p>
  </w:footnote>
  <w:footnote w:type="continuationSeparator" w:id="0">
    <w:p w:rsidR="00926541" w:rsidRDefault="0092654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BD0726"/>
    <w:rsid w:val="00926541"/>
    <w:rsid w:val="00BD0726"/>
    <w:rsid w:val="00D525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BAAE16-D576-46FF-9F30-3A25DD3A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Lucida Sans"/>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Calibri" w:eastAsia="新細明體, PMingLiU" w:hAnsi="Calibri" w:cs="Times New Roman"/>
      <w:szCs w:val="22"/>
      <w:lang w:bidi="ar-SA"/>
    </w:rPr>
  </w:style>
  <w:style w:type="paragraph" w:customStyle="1" w:styleId="Textbody">
    <w:name w:val="Text body"/>
    <w:basedOn w:val="Standard"/>
    <w:pPr>
      <w:spacing w:after="140" w:line="276" w:lineRule="auto"/>
    </w:pPr>
  </w:style>
  <w:style w:type="paragraph" w:customStyle="1" w:styleId="Heading">
    <w:name w:val="Heading"/>
    <w:basedOn w:val="Standard"/>
    <w:next w:val="Textbody"/>
    <w:pPr>
      <w:keepNext/>
      <w:spacing w:before="240" w:after="120"/>
    </w:pPr>
    <w:rPr>
      <w:rFonts w:ascii="Liberation Sans" w:eastAsia="思源黑體" w:hAnsi="Liberation Sans" w:cs="Lucida Sans"/>
      <w:sz w:val="28"/>
      <w:szCs w:val="28"/>
    </w:r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HTML">
    <w:name w:val="HTML Preformatted"/>
    <w:basedOn w:val="Standard"/>
    <w:pPr>
      <w:widowControl/>
    </w:pPr>
    <w:rPr>
      <w:rFonts w:ascii="細明體, MingLiU" w:eastAsia="細明體, MingLiU" w:hAnsi="細明體, MingLiU" w:cs="細明體, MingLiU"/>
      <w:color w:val="000000"/>
      <w:kern w:val="0"/>
      <w:szCs w:val="24"/>
    </w:rPr>
  </w:style>
  <w:style w:type="paragraph" w:customStyle="1" w:styleId="HeaderandFooter">
    <w:name w:val="Header and Footer"/>
    <w:basedOn w:val="Standard"/>
    <w:pPr>
      <w:suppressLineNumbers/>
      <w:tabs>
        <w:tab w:val="center" w:pos="4819"/>
        <w:tab w:val="right" w:pos="9638"/>
      </w:tabs>
    </w:pPr>
  </w:style>
  <w:style w:type="paragraph" w:styleId="a5">
    <w:name w:val="header"/>
    <w:basedOn w:val="Standard"/>
    <w:pPr>
      <w:snapToGrid w:val="0"/>
    </w:pPr>
    <w:rPr>
      <w:sz w:val="20"/>
      <w:szCs w:val="20"/>
    </w:rPr>
  </w:style>
  <w:style w:type="paragraph" w:styleId="a6">
    <w:name w:val="footer"/>
    <w:basedOn w:val="Standard"/>
    <w:pPr>
      <w:snapToGrid w:val="0"/>
    </w:pPr>
    <w:rPr>
      <w:sz w:val="20"/>
      <w:szCs w:val="20"/>
    </w:rPr>
  </w:style>
  <w:style w:type="paragraph" w:styleId="a7">
    <w:name w:val="Balloon Text"/>
    <w:basedOn w:val="Standard"/>
    <w:rPr>
      <w:rFonts w:ascii="Cambria" w:eastAsia="Cambria" w:hAnsi="Cambria" w:cs="Cambria"/>
      <w:sz w:val="18"/>
      <w:szCs w:val="18"/>
    </w:rPr>
  </w:style>
  <w:style w:type="paragraph" w:styleId="a8">
    <w:name w:val="List Paragraph"/>
    <w:basedOn w:val="Standard"/>
    <w:pPr>
      <w:ind w:left="480"/>
    </w:pPr>
  </w:style>
  <w:style w:type="character" w:customStyle="1" w:styleId="HTML0">
    <w:name w:val="HTML 預設格式 字元"/>
    <w:rPr>
      <w:rFonts w:ascii="細明體, MingLiU" w:eastAsia="細明體, MingLiU" w:hAnsi="細明體, MingLiU" w:cs="細明體, MingLiU"/>
      <w:color w:val="000000"/>
      <w:kern w:val="0"/>
      <w:sz w:val="24"/>
      <w:szCs w:val="24"/>
    </w:rPr>
  </w:style>
  <w:style w:type="character" w:customStyle="1" w:styleId="a9">
    <w:name w:val="頁首 字元"/>
    <w:rPr>
      <w:rFonts w:cs="Times New Roman"/>
      <w:sz w:val="20"/>
      <w:szCs w:val="20"/>
    </w:rPr>
  </w:style>
  <w:style w:type="character" w:customStyle="1" w:styleId="aa">
    <w:name w:val="頁尾 字元"/>
    <w:rPr>
      <w:rFonts w:cs="Times New Roman"/>
      <w:sz w:val="20"/>
      <w:szCs w:val="20"/>
    </w:rPr>
  </w:style>
  <w:style w:type="character" w:customStyle="1" w:styleId="ab">
    <w:name w:val="註解方塊文字 字元"/>
    <w:rPr>
      <w:rFonts w:ascii="Cambria" w:eastAsia="新細明體, PMingLiU" w:hAnsi="Cambria" w:cs="Times New Roman"/>
      <w:sz w:val="18"/>
      <w:szCs w:val="18"/>
    </w:rPr>
  </w:style>
  <w:style w:type="character" w:customStyle="1" w:styleId="ac">
    <w:name w:val="清單段落 字元"/>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Words>
  <Characters>508</Characters>
  <Application>Microsoft Office Word</Application>
  <DocSecurity>0</DocSecurity>
  <Lines>4</Lines>
  <Paragraphs>1</Paragraphs>
  <ScaleCrop>false</ScaleCrop>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柯嘉欣</dc:creator>
  <dc:description/>
  <cp:lastModifiedBy>USER</cp:lastModifiedBy>
  <cp:revision>2</cp:revision>
  <cp:lastPrinted>2020-03-11T18:42:00Z</cp:lastPrinted>
  <dcterms:created xsi:type="dcterms:W3CDTF">2026-04-16T03:20:00Z</dcterms:created>
  <dcterms:modified xsi:type="dcterms:W3CDTF">2026-04-16T03:20:00Z</dcterms:modified>
</cp:coreProperties>
</file>